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BF" w:rsidRPr="00FF01D2" w:rsidRDefault="00FF01D2" w:rsidP="00FF01D2">
      <w:pPr>
        <w:jc w:val="center"/>
        <w:rPr>
          <w:b/>
          <w:sz w:val="32"/>
          <w:u w:val="single"/>
        </w:rPr>
      </w:pPr>
      <w:r w:rsidRPr="00FF01D2">
        <w:rPr>
          <w:b/>
          <w:sz w:val="32"/>
          <w:u w:val="single"/>
        </w:rPr>
        <w:t>Historical Court Cases and Amendments – 50 Points</w:t>
      </w:r>
    </w:p>
    <w:p w:rsidR="00FF01D2" w:rsidRPr="00FF01D2" w:rsidRDefault="00FF01D2">
      <w:pPr>
        <w:rPr>
          <w:rFonts w:ascii="Arial Unicode MS" w:eastAsia="Arial Unicode MS" w:hAnsi="Arial Unicode MS" w:cs="Arial Unicode MS"/>
          <w:i/>
        </w:rPr>
      </w:pPr>
      <w:r w:rsidRPr="00FF01D2">
        <w:rPr>
          <w:rFonts w:ascii="Arial Unicode MS" w:eastAsia="Arial Unicode MS" w:hAnsi="Arial Unicode MS" w:cs="Arial Unicode MS"/>
          <w:i/>
        </w:rPr>
        <w:t>Directions: Place each case in chronological order. Then, for each court case and amendment answer the following:</w:t>
      </w:r>
    </w:p>
    <w:p w:rsidR="00FF01D2" w:rsidRPr="00FF01D2" w:rsidRDefault="00FF01D2" w:rsidP="00FF01D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i/>
        </w:rPr>
      </w:pPr>
      <w:r w:rsidRPr="00FF01D2">
        <w:rPr>
          <w:rFonts w:ascii="Arial Unicode MS" w:eastAsia="Arial Unicode MS" w:hAnsi="Arial Unicode MS" w:cs="Arial Unicode MS"/>
          <w:i/>
        </w:rPr>
        <w:t xml:space="preserve">Describe the case and what the court ruled. </w:t>
      </w:r>
    </w:p>
    <w:p w:rsidR="00FF01D2" w:rsidRPr="00FF01D2" w:rsidRDefault="00FF01D2" w:rsidP="00FF01D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i/>
        </w:rPr>
      </w:pPr>
      <w:r w:rsidRPr="00FF01D2">
        <w:rPr>
          <w:rFonts w:ascii="Arial Unicode MS" w:eastAsia="Arial Unicode MS" w:hAnsi="Arial Unicode MS" w:cs="Arial Unicode MS"/>
          <w:i/>
        </w:rPr>
        <w:t>Describe the context (which period and why it’s relevant).</w:t>
      </w:r>
    </w:p>
    <w:p w:rsidR="00FF01D2" w:rsidRPr="00FF01D2" w:rsidRDefault="00FF01D2" w:rsidP="00FF01D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i/>
        </w:rPr>
      </w:pPr>
      <w:r w:rsidRPr="00FF01D2">
        <w:rPr>
          <w:rFonts w:ascii="Arial Unicode MS" w:eastAsia="Arial Unicode MS" w:hAnsi="Arial Unicode MS" w:cs="Arial Unicode MS"/>
          <w:i/>
        </w:rPr>
        <w:t xml:space="preserve">Describe the change and continuity associated as well as significant outcome. </w:t>
      </w:r>
    </w:p>
    <w:p w:rsidR="00FF01D2" w:rsidRPr="00FF01D2" w:rsidRDefault="00FF01D2" w:rsidP="00FF01D2">
      <w:pPr>
        <w:pStyle w:val="ListParagraph"/>
        <w:rPr>
          <w:rFonts w:ascii="Arial Unicode MS" w:eastAsia="Arial Unicode MS" w:hAnsi="Arial Unicode MS" w:cs="Arial Unicode MS"/>
        </w:rPr>
      </w:pP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13</w:t>
      </w:r>
      <w:r w:rsidRPr="00FF01D2">
        <w:rPr>
          <w:rFonts w:ascii="Arial Unicode MS" w:eastAsia="Arial Unicode MS" w:hAnsi="Arial Unicode MS" w:cs="Arial Unicode MS"/>
          <w:vertAlign w:val="superscript"/>
        </w:rPr>
        <w:t>th</w:t>
      </w:r>
      <w:r w:rsidRPr="00FF01D2">
        <w:rPr>
          <w:rFonts w:ascii="Arial Unicode MS" w:eastAsia="Arial Unicode MS" w:hAnsi="Arial Unicode MS" w:cs="Arial Unicode MS"/>
        </w:rPr>
        <w:t xml:space="preserve"> Amendment</w:t>
      </w:r>
      <w:bookmarkStart w:id="0" w:name="_GoBack"/>
      <w:bookmarkEnd w:id="0"/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14</w:t>
      </w:r>
      <w:r w:rsidRPr="00FF01D2">
        <w:rPr>
          <w:rFonts w:ascii="Arial Unicode MS" w:eastAsia="Arial Unicode MS" w:hAnsi="Arial Unicode MS" w:cs="Arial Unicode MS"/>
          <w:vertAlign w:val="superscript"/>
        </w:rPr>
        <w:t>th</w:t>
      </w:r>
      <w:r w:rsidRPr="00FF01D2">
        <w:rPr>
          <w:rFonts w:ascii="Arial Unicode MS" w:eastAsia="Arial Unicode MS" w:hAnsi="Arial Unicode MS" w:cs="Arial Unicode MS"/>
        </w:rPr>
        <w:t xml:space="preserve"> Amendment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15</w:t>
      </w:r>
      <w:r w:rsidRPr="00FF01D2">
        <w:rPr>
          <w:rFonts w:ascii="Arial Unicode MS" w:eastAsia="Arial Unicode MS" w:hAnsi="Arial Unicode MS" w:cs="Arial Unicode MS"/>
          <w:vertAlign w:val="superscript"/>
        </w:rPr>
        <w:t>th</w:t>
      </w:r>
      <w:r w:rsidRPr="00FF01D2">
        <w:rPr>
          <w:rFonts w:ascii="Arial Unicode MS" w:eastAsia="Arial Unicode MS" w:hAnsi="Arial Unicode MS" w:cs="Arial Unicode MS"/>
        </w:rPr>
        <w:t xml:space="preserve"> Amendment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19</w:t>
      </w:r>
      <w:r w:rsidRPr="00FF01D2">
        <w:rPr>
          <w:rFonts w:ascii="Arial Unicode MS" w:eastAsia="Arial Unicode MS" w:hAnsi="Arial Unicode MS" w:cs="Arial Unicode MS"/>
          <w:vertAlign w:val="superscript"/>
        </w:rPr>
        <w:t>th</w:t>
      </w:r>
      <w:r w:rsidRPr="00FF01D2">
        <w:rPr>
          <w:rFonts w:ascii="Arial Unicode MS" w:eastAsia="Arial Unicode MS" w:hAnsi="Arial Unicode MS" w:cs="Arial Unicode MS"/>
        </w:rPr>
        <w:t xml:space="preserve"> Amendment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22</w:t>
      </w:r>
      <w:r w:rsidRPr="00FF01D2">
        <w:rPr>
          <w:rFonts w:ascii="Arial Unicode MS" w:eastAsia="Arial Unicode MS" w:hAnsi="Arial Unicode MS" w:cs="Arial Unicode MS"/>
          <w:vertAlign w:val="superscript"/>
        </w:rPr>
        <w:t>nd</w:t>
      </w:r>
      <w:r w:rsidRPr="00FF01D2">
        <w:rPr>
          <w:rFonts w:ascii="Arial Unicode MS" w:eastAsia="Arial Unicode MS" w:hAnsi="Arial Unicode MS" w:cs="Arial Unicode MS"/>
        </w:rPr>
        <w:t xml:space="preserve"> Amendment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Dred Scott v. Sanford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Gibbons v. Ogden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Plessy v. Ferguson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Marbury v. Madison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Worcester v. Georgia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Munn v. Illinois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Wabash case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proofErr w:type="spellStart"/>
      <w:r w:rsidRPr="00FF01D2">
        <w:rPr>
          <w:rFonts w:ascii="Arial Unicode MS" w:eastAsia="Arial Unicode MS" w:hAnsi="Arial Unicode MS" w:cs="Arial Unicode MS"/>
        </w:rPr>
        <w:t>Korematsu</w:t>
      </w:r>
      <w:proofErr w:type="spellEnd"/>
      <w:r w:rsidRPr="00FF01D2">
        <w:rPr>
          <w:rFonts w:ascii="Arial Unicode MS" w:eastAsia="Arial Unicode MS" w:hAnsi="Arial Unicode MS" w:cs="Arial Unicode MS"/>
        </w:rPr>
        <w:t xml:space="preserve"> v. United States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Brown v. Board of Education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Miranda v. Arizona</w:t>
      </w:r>
    </w:p>
    <w:p w:rsidR="00FF01D2" w:rsidRPr="00FF01D2" w:rsidRDefault="00FF01D2" w:rsidP="00FF01D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F01D2">
        <w:rPr>
          <w:rFonts w:ascii="Arial Unicode MS" w:eastAsia="Arial Unicode MS" w:hAnsi="Arial Unicode MS" w:cs="Arial Unicode MS"/>
        </w:rPr>
        <w:t>Roe v. Wade</w:t>
      </w:r>
    </w:p>
    <w:sectPr w:rsidR="00FF01D2" w:rsidRPr="00FF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7166"/>
    <w:multiLevelType w:val="hybridMultilevel"/>
    <w:tmpl w:val="7632D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A40"/>
    <w:multiLevelType w:val="hybridMultilevel"/>
    <w:tmpl w:val="42F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D2"/>
    <w:rsid w:val="00E30B95"/>
    <w:rsid w:val="00EC5919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E381-ADAD-461F-8D37-DC624C2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2015-04-16T13:31:00Z</dcterms:created>
  <dcterms:modified xsi:type="dcterms:W3CDTF">2015-04-16T14:04:00Z</dcterms:modified>
</cp:coreProperties>
</file>