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2C" w:rsidRPr="0029062C" w:rsidRDefault="0029062C" w:rsidP="0029062C">
      <w:pPr>
        <w:jc w:val="center"/>
        <w:rPr>
          <w:b/>
          <w:sz w:val="36"/>
          <w:u w:val="single"/>
        </w:rPr>
      </w:pPr>
      <w:r w:rsidRPr="0029062C">
        <w:rPr>
          <w:b/>
          <w:sz w:val="36"/>
          <w:u w:val="single"/>
        </w:rPr>
        <w:t>VIETNAM WAR DEBATE PREP</w:t>
      </w:r>
      <w:bookmarkStart w:id="0" w:name="_GoBack"/>
      <w:bookmarkEnd w:id="0"/>
    </w:p>
    <w:p w:rsidR="0029062C" w:rsidRPr="0029062C" w:rsidRDefault="0029062C" w:rsidP="0029062C">
      <w:pPr>
        <w:jc w:val="center"/>
        <w:rPr>
          <w:i/>
          <w:sz w:val="36"/>
        </w:rPr>
      </w:pPr>
      <w:r w:rsidRPr="0029062C">
        <w:rPr>
          <w:i/>
          <w:sz w:val="36"/>
        </w:rPr>
        <w:t xml:space="preserve">Was the United States justified in entering the Vietnam War? </w:t>
      </w:r>
    </w:p>
    <w:p w:rsidR="0029062C" w:rsidRPr="0029062C" w:rsidRDefault="0029062C" w:rsidP="0029062C">
      <w:pPr>
        <w:jc w:val="center"/>
        <w:rPr>
          <w:sz w:val="32"/>
        </w:rPr>
      </w:pPr>
      <w:r w:rsidRPr="0029062C">
        <w:rPr>
          <w:sz w:val="32"/>
        </w:rPr>
        <w:t xml:space="preserve">Directions: Use the documents provided as </w:t>
      </w:r>
      <w:r>
        <w:rPr>
          <w:sz w:val="32"/>
        </w:rPr>
        <w:t>well as additional research t0 support a</w:t>
      </w:r>
      <w:r w:rsidRPr="0029062C">
        <w:rPr>
          <w:sz w:val="32"/>
        </w:rPr>
        <w:t>rguments you will create based on your assigned role. Use the chart below (or similar one) to guide your initial analysis.</w:t>
      </w:r>
    </w:p>
    <w:tbl>
      <w:tblPr>
        <w:tblStyle w:val="TableGrid"/>
        <w:tblW w:w="0" w:type="auto"/>
        <w:tblLook w:val="04A0" w:firstRow="1" w:lastRow="0" w:firstColumn="1" w:lastColumn="0" w:noHBand="0" w:noVBand="1"/>
      </w:tblPr>
      <w:tblGrid>
        <w:gridCol w:w="2261"/>
        <w:gridCol w:w="2241"/>
        <w:gridCol w:w="2606"/>
        <w:gridCol w:w="2242"/>
      </w:tblGrid>
      <w:tr w:rsidR="0029062C" w:rsidRPr="0029062C" w:rsidTr="0071158E">
        <w:tc>
          <w:tcPr>
            <w:tcW w:w="2337" w:type="dxa"/>
          </w:tcPr>
          <w:p w:rsidR="0029062C" w:rsidRPr="0029062C" w:rsidRDefault="0029062C" w:rsidP="0029062C">
            <w:pPr>
              <w:jc w:val="center"/>
              <w:rPr>
                <w:sz w:val="32"/>
              </w:rPr>
            </w:pPr>
            <w:r w:rsidRPr="0029062C">
              <w:rPr>
                <w:sz w:val="32"/>
              </w:rPr>
              <w:t>Document</w:t>
            </w:r>
          </w:p>
        </w:tc>
        <w:tc>
          <w:tcPr>
            <w:tcW w:w="2337" w:type="dxa"/>
          </w:tcPr>
          <w:p w:rsidR="0029062C" w:rsidRPr="0029062C" w:rsidRDefault="0029062C" w:rsidP="0029062C">
            <w:pPr>
              <w:jc w:val="center"/>
              <w:rPr>
                <w:sz w:val="32"/>
              </w:rPr>
            </w:pPr>
            <w:r w:rsidRPr="0029062C">
              <w:rPr>
                <w:sz w:val="32"/>
              </w:rPr>
              <w:t>Justified: Yes/No</w:t>
            </w:r>
          </w:p>
        </w:tc>
        <w:tc>
          <w:tcPr>
            <w:tcW w:w="2338" w:type="dxa"/>
          </w:tcPr>
          <w:p w:rsidR="0029062C" w:rsidRPr="0029062C" w:rsidRDefault="0029062C" w:rsidP="0029062C">
            <w:pPr>
              <w:jc w:val="center"/>
              <w:rPr>
                <w:sz w:val="32"/>
              </w:rPr>
            </w:pPr>
            <w:r w:rsidRPr="0029062C">
              <w:rPr>
                <w:sz w:val="32"/>
              </w:rPr>
              <w:t>Argument (or anticipated counterargument)</w:t>
            </w:r>
          </w:p>
        </w:tc>
        <w:tc>
          <w:tcPr>
            <w:tcW w:w="2338" w:type="dxa"/>
          </w:tcPr>
          <w:p w:rsidR="0029062C" w:rsidRPr="0029062C" w:rsidRDefault="0029062C" w:rsidP="0029062C">
            <w:pPr>
              <w:jc w:val="center"/>
              <w:rPr>
                <w:sz w:val="32"/>
              </w:rPr>
            </w:pPr>
            <w:r w:rsidRPr="0029062C">
              <w:rPr>
                <w:sz w:val="32"/>
              </w:rPr>
              <w:t>Evidence</w:t>
            </w: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r w:rsidR="0029062C" w:rsidRPr="0029062C" w:rsidTr="0071158E">
        <w:tc>
          <w:tcPr>
            <w:tcW w:w="2337" w:type="dxa"/>
          </w:tcPr>
          <w:p w:rsidR="0029062C" w:rsidRPr="0029062C" w:rsidRDefault="0029062C" w:rsidP="0029062C">
            <w:pPr>
              <w:jc w:val="center"/>
              <w:rPr>
                <w:sz w:val="32"/>
              </w:rPr>
            </w:pPr>
          </w:p>
        </w:tc>
        <w:tc>
          <w:tcPr>
            <w:tcW w:w="2337"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c>
          <w:tcPr>
            <w:tcW w:w="2338" w:type="dxa"/>
          </w:tcPr>
          <w:p w:rsidR="0029062C" w:rsidRPr="0029062C" w:rsidRDefault="0029062C" w:rsidP="0029062C">
            <w:pPr>
              <w:jc w:val="center"/>
              <w:rPr>
                <w:sz w:val="32"/>
              </w:rPr>
            </w:pPr>
          </w:p>
        </w:tc>
      </w:tr>
    </w:tbl>
    <w:p w:rsidR="0029062C" w:rsidRPr="0029062C" w:rsidRDefault="0029062C" w:rsidP="0029062C">
      <w:pPr>
        <w:jc w:val="center"/>
        <w:rPr>
          <w:sz w:val="28"/>
        </w:rPr>
      </w:pPr>
    </w:p>
    <w:p w:rsidR="0029062C" w:rsidRPr="0029062C" w:rsidRDefault="0029062C" w:rsidP="0029062C">
      <w:pPr>
        <w:jc w:val="center"/>
        <w:rPr>
          <w:sz w:val="28"/>
        </w:rPr>
      </w:pPr>
      <w:r w:rsidRPr="0029062C">
        <w:rPr>
          <w:sz w:val="28"/>
        </w:rPr>
        <w:t xml:space="preserve">*By creating the argument represented in each document you will be not only preparing for your side but also anticipating the counterargument of the opposing side. For example, if you are arguing that bombing was NOT justified, Document B gives reasons why it was- therefore in the argument column you will anticipate what your opponent will say so that you can refute it. Once you have completed the initial analysis, go back through and back note of the main points you would like to make during the debate. </w:t>
      </w:r>
    </w:p>
    <w:p w:rsidR="0029062C" w:rsidRPr="0029062C" w:rsidRDefault="0029062C" w:rsidP="0029062C">
      <w:pPr>
        <w:jc w:val="center"/>
        <w:rPr>
          <w:b/>
          <w:sz w:val="36"/>
        </w:rPr>
      </w:pPr>
    </w:p>
    <w:p w:rsidR="0029062C" w:rsidRDefault="0029062C" w:rsidP="00EE5214"/>
    <w:p w:rsidR="0029062C" w:rsidRDefault="0029062C" w:rsidP="00EE5214"/>
    <w:p w:rsidR="00EE5214" w:rsidRDefault="00EE5214" w:rsidP="0029062C">
      <w:pPr>
        <w:pStyle w:val="ListParagraph"/>
        <w:numPr>
          <w:ilvl w:val="0"/>
          <w:numId w:val="1"/>
        </w:numPr>
      </w:pPr>
      <w:r>
        <w:lastRenderedPageBreak/>
        <w:t>JBL’s conversation with McNamara regarding the Gulf of Tonkin Incident</w:t>
      </w:r>
    </w:p>
    <w:p w:rsidR="004F24BF" w:rsidRDefault="00EE5214">
      <w:hyperlink r:id="rId5" w:history="1">
        <w:r w:rsidRPr="00FD638B">
          <w:rPr>
            <w:rStyle w:val="Hyperlink"/>
          </w:rPr>
          <w:t>http://nsarchive.gwu.edu/NSAEBB/NSAEBB132/tapes.htm</w:t>
        </w:r>
      </w:hyperlink>
    </w:p>
    <w:p w:rsidR="00EE5214" w:rsidRDefault="00EE5214" w:rsidP="00EE5214">
      <w:pPr>
        <w:pStyle w:val="ListParagraph"/>
        <w:numPr>
          <w:ilvl w:val="0"/>
          <w:numId w:val="1"/>
        </w:numPr>
      </w:pPr>
      <w:r>
        <w:t>White House Staff meeting regarding the Gulf of Tonkin Incident</w:t>
      </w:r>
    </w:p>
    <w:p w:rsidR="00EE5214" w:rsidRDefault="00EE5214">
      <w:hyperlink r:id="rId6" w:history="1">
        <w:r w:rsidRPr="00FD638B">
          <w:rPr>
            <w:rStyle w:val="Hyperlink"/>
          </w:rPr>
          <w:t>http://nsarchive.gwu.edu/NSAEBB/NSAEBB132/tonkin.pdf</w:t>
        </w:r>
      </w:hyperlink>
    </w:p>
    <w:p w:rsidR="00EE5214" w:rsidRDefault="00EE5214" w:rsidP="00EE5214">
      <w:pPr>
        <w:pStyle w:val="ListParagraph"/>
        <w:numPr>
          <w:ilvl w:val="0"/>
          <w:numId w:val="1"/>
        </w:numPr>
      </w:pPr>
      <w:r>
        <w:t>Johnson’s Message to Congress (part 1)</w:t>
      </w:r>
    </w:p>
    <w:p w:rsidR="00EE5214" w:rsidRDefault="00EE5214" w:rsidP="00EE5214">
      <w:pPr>
        <w:pStyle w:val="ListParagraph"/>
      </w:pPr>
      <w:r>
        <w:t>Gulf of Tonkin Resolution (part 2)</w:t>
      </w:r>
    </w:p>
    <w:p w:rsidR="0029062C" w:rsidRDefault="00EE5214" w:rsidP="00EE5214">
      <w:pPr>
        <w:pStyle w:val="ListParagraph"/>
      </w:pPr>
      <w:hyperlink r:id="rId7" w:history="1">
        <w:r w:rsidRPr="00FD638B">
          <w:rPr>
            <w:rStyle w:val="Hyperlink"/>
          </w:rPr>
          <w:t>http://avalon.law.yale.edu/20th_century/tonkin-g.asp</w:t>
        </w:r>
      </w:hyperlink>
    </w:p>
    <w:p w:rsidR="00EE5214" w:rsidRDefault="00EE5214" w:rsidP="00EE5214">
      <w:pPr>
        <w:pStyle w:val="ListParagraph"/>
      </w:pPr>
    </w:p>
    <w:p w:rsidR="00EE5214" w:rsidRDefault="00EE5214" w:rsidP="00EE5214">
      <w:pPr>
        <w:pStyle w:val="ListParagraph"/>
        <w:numPr>
          <w:ilvl w:val="0"/>
          <w:numId w:val="1"/>
        </w:numPr>
      </w:pPr>
      <w:r>
        <w:t>Anti-War Movement Timeline</w:t>
      </w:r>
    </w:p>
    <w:p w:rsidR="00EE5214" w:rsidRDefault="00EE5214" w:rsidP="00EE5214">
      <w:pPr>
        <w:pStyle w:val="ListParagraph"/>
        <w:numPr>
          <w:ilvl w:val="0"/>
          <w:numId w:val="1"/>
        </w:numPr>
      </w:pPr>
      <w:r>
        <w:t>Martin Luther King Jr’s Opposition</w:t>
      </w:r>
    </w:p>
    <w:p w:rsidR="00EE5214" w:rsidRDefault="00EE5214" w:rsidP="00EE5214">
      <w:pPr>
        <w:pStyle w:val="ListParagraph"/>
        <w:numPr>
          <w:ilvl w:val="0"/>
          <w:numId w:val="1"/>
        </w:numPr>
      </w:pPr>
      <w:r>
        <w:t>John Kerry’s Opposition</w:t>
      </w:r>
    </w:p>
    <w:p w:rsidR="00EE5214" w:rsidRDefault="00EE5214" w:rsidP="00EE5214">
      <w:pPr>
        <w:pStyle w:val="ListParagraph"/>
        <w:numPr>
          <w:ilvl w:val="0"/>
          <w:numId w:val="1"/>
        </w:numPr>
      </w:pPr>
      <w:r>
        <w:t>Course of Action in Southeast Asia (1954)</w:t>
      </w:r>
    </w:p>
    <w:p w:rsidR="00EE5214" w:rsidRDefault="0029062C" w:rsidP="00EE5214">
      <w:pPr>
        <w:pStyle w:val="ListParagraph"/>
        <w:numPr>
          <w:ilvl w:val="0"/>
          <w:numId w:val="1"/>
        </w:numPr>
      </w:pPr>
      <w:r>
        <w:t xml:space="preserve">Letter from Eisenhower to Ngo </w:t>
      </w:r>
      <w:proofErr w:type="spellStart"/>
      <w:r>
        <w:t>Dinh</w:t>
      </w:r>
      <w:proofErr w:type="spellEnd"/>
      <w:r>
        <w:t xml:space="preserve"> Diem (1954)</w:t>
      </w:r>
    </w:p>
    <w:p w:rsidR="0029062C" w:rsidRDefault="0029062C" w:rsidP="00EE5214">
      <w:pPr>
        <w:pStyle w:val="ListParagraph"/>
        <w:numPr>
          <w:ilvl w:val="0"/>
          <w:numId w:val="1"/>
        </w:numPr>
      </w:pPr>
      <w:r>
        <w:t xml:space="preserve">State Department White Paper on Vietnam (1965) </w:t>
      </w:r>
    </w:p>
    <w:p w:rsidR="0029062C" w:rsidRDefault="0029062C" w:rsidP="00EE5214">
      <w:pPr>
        <w:pStyle w:val="ListParagraph"/>
        <w:numPr>
          <w:ilvl w:val="0"/>
          <w:numId w:val="1"/>
        </w:numPr>
      </w:pPr>
      <w:r>
        <w:t xml:space="preserve"> American Policy on Vietnam, John (1965) </w:t>
      </w:r>
    </w:p>
    <w:sectPr w:rsidR="0029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A3F3A"/>
    <w:multiLevelType w:val="hybridMultilevel"/>
    <w:tmpl w:val="3D7AE7A8"/>
    <w:lvl w:ilvl="0" w:tplc="0016A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14"/>
    <w:rsid w:val="0029062C"/>
    <w:rsid w:val="00E30B95"/>
    <w:rsid w:val="00EC5919"/>
    <w:rsid w:val="00EE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4B04C-975D-4CCA-B65B-35AA4C9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214"/>
    <w:rPr>
      <w:color w:val="0563C1" w:themeColor="hyperlink"/>
      <w:u w:val="single"/>
    </w:rPr>
  </w:style>
  <w:style w:type="paragraph" w:styleId="ListParagraph">
    <w:name w:val="List Paragraph"/>
    <w:basedOn w:val="Normal"/>
    <w:uiPriority w:val="34"/>
    <w:qFormat/>
    <w:rsid w:val="00EE5214"/>
    <w:pPr>
      <w:ind w:left="720"/>
      <w:contextualSpacing/>
    </w:pPr>
  </w:style>
  <w:style w:type="table" w:styleId="TableGrid">
    <w:name w:val="Table Grid"/>
    <w:basedOn w:val="TableNormal"/>
    <w:uiPriority w:val="39"/>
    <w:rsid w:val="0029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lon.law.yale.edu/20th_century/tonkin-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archive.gwu.edu/NSAEBB/NSAEBB132/tonkin.pdf" TargetMode="External"/><Relationship Id="rId5" Type="http://schemas.openxmlformats.org/officeDocument/2006/relationships/hyperlink" Target="http://nsarchive.gwu.edu/NSAEBB/NSAEBB132/tap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2015-04-17T12:50:00Z</dcterms:created>
  <dcterms:modified xsi:type="dcterms:W3CDTF">2015-04-17T13:10:00Z</dcterms:modified>
</cp:coreProperties>
</file>